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Carlito" w:hAnsi="Carlito"/>
          <w:sz w:val="24"/>
          <w:szCs w:val="24"/>
        </w:rPr>
      </w:pPr>
      <w:r>
        <w:rPr>
          <w:rFonts w:ascii="Carlito" w:hAnsi="Carlito"/>
          <w:b/>
          <w:bCs/>
          <w:i w:val="false"/>
          <w:iCs w:val="false"/>
          <w:color w:val="000000"/>
          <w:sz w:val="24"/>
          <w:szCs w:val="24"/>
        </w:rPr>
        <w:t xml:space="preserve">PAUTA DA </w:t>
      </w:r>
      <w:r>
        <w:rPr>
          <w:rFonts w:ascii="Carlito" w:hAnsi="Carlito"/>
          <w:b/>
          <w:bCs/>
          <w:i w:val="false"/>
          <w:iCs w:val="false"/>
          <w:color w:val="000000"/>
          <w:sz w:val="24"/>
          <w:szCs w:val="24"/>
        </w:rPr>
        <w:t>3</w:t>
      </w:r>
      <w:r>
        <w:rPr>
          <w:rFonts w:ascii="Carlito" w:hAnsi="Carlito"/>
          <w:b/>
          <w:bCs/>
          <w:i w:val="false"/>
          <w:iCs w:val="false"/>
          <w:color w:val="000000"/>
          <w:sz w:val="24"/>
          <w:szCs w:val="24"/>
        </w:rPr>
        <w:t xml:space="preserve">ª REUNIÃO ORDINÁRIA DA COMISSÃO DE LEGISLAÇÃO, JUSTIÇA E </w:t>
      </w:r>
    </w:p>
    <w:p>
      <w:pPr>
        <w:pStyle w:val="Normal"/>
        <w:spacing w:lineRule="auto" w:line="240" w:before="0" w:after="0"/>
        <w:jc w:val="center"/>
        <w:rPr>
          <w:rFonts w:ascii="Carlito" w:hAnsi="Carlito"/>
          <w:sz w:val="24"/>
          <w:szCs w:val="24"/>
        </w:rPr>
      </w:pPr>
      <w:r>
        <w:rPr>
          <w:rFonts w:ascii="Carlito" w:hAnsi="Carlito"/>
          <w:b/>
          <w:bCs/>
          <w:i w:val="false"/>
          <w:iCs w:val="false"/>
          <w:color w:val="000000"/>
          <w:sz w:val="24"/>
          <w:szCs w:val="24"/>
        </w:rPr>
        <w:t>REDAÇÃO FINAL</w:t>
      </w:r>
    </w:p>
    <w:p>
      <w:pPr>
        <w:pStyle w:val="Normal"/>
        <w:spacing w:lineRule="auto" w:line="240" w:before="0" w:after="0"/>
        <w:rPr>
          <w:rFonts w:ascii="Carlito" w:hAnsi="Carlito"/>
          <w:sz w:val="24"/>
          <w:szCs w:val="24"/>
        </w:rPr>
      </w:pPr>
      <w:r>
        <w:rPr>
          <w:rFonts w:ascii="Carlito" w:hAnsi="Carlito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Carlito" w:hAnsi="Carlito"/>
          <w:i w:val="false"/>
          <w:i w:val="false"/>
          <w:iCs w:val="false"/>
          <w:sz w:val="24"/>
          <w:szCs w:val="24"/>
        </w:rPr>
      </w:pPr>
      <w:r>
        <w:rPr>
          <w:rFonts w:ascii="Carlito" w:hAnsi="Carlito"/>
          <w:i w:val="false"/>
          <w:iCs w:val="false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sz w:val="24"/>
          <w:szCs w:val="24"/>
          <w:u w:val="none"/>
          <w:shd w:fill="auto" w:val="clear"/>
        </w:rPr>
        <w:t xml:space="preserve">A Comissão de Legislação, Justiça e Redação Final da Câmara Municipal de São José da Barra, Estado de Minas Gerais, TORNA PÚBLICO que no dia 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sz w:val="24"/>
          <w:szCs w:val="24"/>
          <w:u w:val="none"/>
          <w:shd w:fill="auto" w:val="clear"/>
        </w:rPr>
        <w:t>18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sz w:val="24"/>
          <w:szCs w:val="24"/>
          <w:u w:val="none"/>
          <w:shd w:fill="auto" w:val="clear"/>
        </w:rPr>
        <w:t xml:space="preserve"> de maio de 2026, às 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sz w:val="24"/>
          <w:szCs w:val="24"/>
          <w:u w:val="none"/>
          <w:shd w:fill="auto" w:val="clear"/>
        </w:rPr>
        <w:t>09 h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sz w:val="24"/>
          <w:szCs w:val="24"/>
          <w:u w:val="none"/>
          <w:shd w:fill="auto" w:val="clear"/>
        </w:rPr>
        <w:t>, estará reunida para analisar as seguintes matérias:</w:t>
      </w:r>
    </w:p>
    <w:p>
      <w:pPr>
        <w:pStyle w:val="Normal"/>
        <w:spacing w:lineRule="auto" w:line="240" w:before="0" w:after="0"/>
        <w:jc w:val="both"/>
        <w:rPr>
          <w:rStyle w:val="Emphasis"/>
          <w:rFonts w:ascii="Carlito" w:hAnsi="Carlito" w:eastAsia="Times New Roman" w:cs="Times New Roman"/>
          <w:b w:val="false"/>
          <w:bCs w:val="false"/>
          <w:i w:val="false"/>
          <w:i w:val="false"/>
          <w:iCs w:val="false"/>
          <w:color w:val="000000"/>
          <w:w w:val="95"/>
          <w:kern w:val="2"/>
          <w:sz w:val="24"/>
          <w:szCs w:val="24"/>
          <w:u w:val="none"/>
          <w:shd w:fill="auto" w:val="clear"/>
        </w:rPr>
      </w:pPr>
      <w:r>
        <w:rPr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kern w:val="2"/>
          <w:sz w:val="24"/>
          <w:szCs w:val="24"/>
          <w:u w:val="none"/>
          <w:shd w:fill="auto" w:val="clear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720"/>
        <w:jc w:val="both"/>
        <w:rPr>
          <w:rStyle w:val="Emphasis"/>
          <w:rFonts w:ascii="Carlito" w:hAnsi="Carlito" w:eastAsia="Times New Roman" w:cs="Times New Roman"/>
          <w:b w:val="false"/>
          <w:bCs w:val="false"/>
          <w:i w:val="false"/>
          <w:i w:val="false"/>
          <w:iCs w:val="false"/>
          <w:color w:val="000000"/>
          <w:w w:val="95"/>
          <w:kern w:val="2"/>
          <w:sz w:val="24"/>
          <w:szCs w:val="24"/>
          <w:u w:val="none"/>
          <w:shd w:fill="auto" w:val="clear"/>
        </w:rPr>
      </w:pPr>
      <w:r>
        <w:rPr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kern w:val="2"/>
          <w:sz w:val="24"/>
          <w:szCs w:val="24"/>
          <w:u w:val="none"/>
          <w:shd w:fill="auto" w:val="clear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/>
      </w:pPr>
      <w:r>
        <w:rPr>
          <w:rStyle w:val="Emphasis"/>
          <w:rFonts w:eastAsia="Times New Roman" w:cs="Times New Roman" w:ascii="Carlito" w:hAnsi="Carlito"/>
          <w:b/>
          <w:bCs/>
          <w:i w:val="false"/>
          <w:iCs w:val="false"/>
          <w:color w:val="000000"/>
          <w:w w:val="95"/>
          <w:kern w:val="2"/>
          <w:sz w:val="24"/>
          <w:szCs w:val="24"/>
          <w:u w:val="none"/>
          <w:shd w:fill="auto" w:val="clear"/>
          <w:lang w:val="pt-BR" w:eastAsia="pt-BR" w:bidi="ar-SA"/>
        </w:rPr>
        <w:t>PROJETO DE LEI ORDINÁRIA Nº 014/2026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kern w:val="2"/>
          <w:sz w:val="24"/>
          <w:szCs w:val="24"/>
          <w:u w:val="none"/>
          <w:shd w:fill="auto" w:val="clear"/>
          <w:lang w:val="pt-BR" w:eastAsia="pt-BR" w:bidi="ar-SA"/>
        </w:rPr>
        <w:t>, de autoria do Poder Executivo Municipal, que Altera Lei n.º 783/2022 que “Autoriza o Poder Executivo Municipal a instituir o Programa Bolsa Atleta no âmbito do município de São José da Barra, Estado de Minas Gerais.”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720"/>
        <w:jc w:val="both"/>
        <w:rPr>
          <w:rStyle w:val="Emphasis"/>
          <w:rFonts w:ascii="Carlito" w:hAnsi="Carlito" w:eastAsia="Times New Roman" w:cs="Times New Roman"/>
          <w:b w:val="false"/>
          <w:bCs w:val="false"/>
          <w:i w:val="false"/>
          <w:i w:val="false"/>
          <w:iCs w:val="false"/>
          <w:color w:val="000000"/>
          <w:w w:val="95"/>
          <w:kern w:val="2"/>
          <w:sz w:val="24"/>
          <w:szCs w:val="24"/>
          <w:u w:val="none"/>
          <w:shd w:fill="auto" w:val="clear"/>
          <w:lang w:val="pt-BR" w:eastAsia="pt-BR" w:bidi="ar-SA"/>
        </w:rPr>
      </w:pPr>
      <w:r>
        <w:rPr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kern w:val="2"/>
          <w:sz w:val="24"/>
          <w:szCs w:val="24"/>
          <w:u w:val="none"/>
          <w:shd w:fill="auto" w:val="clear"/>
          <w:lang w:val="pt-BR" w:eastAsia="pt-BR" w:bidi="ar-SA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/>
      </w:pPr>
      <w:r>
        <w:rPr>
          <w:rStyle w:val="Emphasis"/>
          <w:rFonts w:eastAsia="Times New Roman" w:cs="Times New Roman" w:ascii="Carlito" w:hAnsi="Carlito"/>
          <w:b/>
          <w:bCs/>
          <w:i w:val="false"/>
          <w:iCs w:val="false"/>
          <w:color w:val="000000"/>
          <w:w w:val="95"/>
          <w:kern w:val="2"/>
          <w:sz w:val="24"/>
          <w:szCs w:val="24"/>
          <w:u w:val="none"/>
          <w:shd w:fill="auto" w:val="clear"/>
          <w:lang w:val="pt-BR" w:eastAsia="pt-BR" w:bidi="ar-SA"/>
        </w:rPr>
        <w:t>PROJETO DE LEI ORDINÁRIA Nº 02</w:t>
      </w:r>
      <w:r>
        <w:rPr>
          <w:rStyle w:val="Emphasis"/>
          <w:rFonts w:eastAsia="Times New Roman" w:cs="Times New Roman" w:ascii="Carlito" w:hAnsi="Carlito"/>
          <w:b/>
          <w:bCs/>
          <w:i w:val="false"/>
          <w:iCs w:val="false"/>
          <w:color w:val="000000"/>
          <w:w w:val="95"/>
          <w:kern w:val="2"/>
          <w:sz w:val="24"/>
          <w:szCs w:val="24"/>
          <w:u w:val="none"/>
          <w:shd w:fill="auto" w:val="clear"/>
          <w:lang w:val="pt-BR" w:eastAsia="pt-BR" w:bidi="ar-SA"/>
        </w:rPr>
        <w:t>3</w:t>
      </w:r>
      <w:r>
        <w:rPr>
          <w:rStyle w:val="Emphasis"/>
          <w:rFonts w:eastAsia="Times New Roman" w:cs="Times New Roman" w:ascii="Carlito" w:hAnsi="Carlito"/>
          <w:b/>
          <w:bCs/>
          <w:i w:val="false"/>
          <w:iCs w:val="false"/>
          <w:color w:val="000000"/>
          <w:w w:val="95"/>
          <w:kern w:val="2"/>
          <w:sz w:val="24"/>
          <w:szCs w:val="24"/>
          <w:u w:val="none"/>
          <w:shd w:fill="auto" w:val="clear"/>
          <w:lang w:val="pt-BR" w:eastAsia="pt-BR" w:bidi="ar-SA"/>
        </w:rPr>
        <w:t>/2026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kern w:val="2"/>
          <w:sz w:val="24"/>
          <w:szCs w:val="24"/>
          <w:u w:val="none"/>
          <w:shd w:fill="auto" w:val="clear"/>
          <w:lang w:val="pt-BR" w:eastAsia="pt-BR" w:bidi="ar-SA"/>
        </w:rPr>
        <w:t xml:space="preserve">, de autoria do Poder Executivo Municipal, que “Altera a Lei nº 618, de 18 de dezembro de 2.019, que dispõe sobre o parcelamento do solo para fins de recreio no Município de São José da Barra e dá outras providências.” 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720"/>
        <w:jc w:val="both"/>
        <w:rPr>
          <w:rStyle w:val="Emphasis"/>
          <w:rFonts w:ascii="Carlito" w:hAnsi="Carlito" w:eastAsia="Times New Roman" w:cs="Times New Roman"/>
          <w:b w:val="false"/>
          <w:bCs w:val="false"/>
          <w:i w:val="false"/>
          <w:i w:val="false"/>
          <w:iCs w:val="false"/>
          <w:color w:val="000000"/>
          <w:w w:val="95"/>
          <w:kern w:val="2"/>
          <w:sz w:val="24"/>
          <w:szCs w:val="24"/>
          <w:u w:val="none"/>
          <w:shd w:fill="auto" w:val="clear"/>
          <w:lang w:val="pt-BR" w:eastAsia="pt-BR" w:bidi="ar-SA"/>
        </w:rPr>
      </w:pPr>
      <w:r>
        <w:rPr/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/>
      </w:pPr>
      <w:r>
        <w:rPr>
          <w:rStyle w:val="Emphasis"/>
          <w:rFonts w:eastAsia="Times New Roman" w:cs="Times New Roman" w:ascii="Carlito" w:hAnsi="Carlito"/>
          <w:b/>
          <w:bCs/>
          <w:i w:val="false"/>
          <w:iCs w:val="false"/>
          <w:color w:val="000000"/>
          <w:w w:val="95"/>
          <w:kern w:val="2"/>
          <w:sz w:val="24"/>
          <w:szCs w:val="24"/>
          <w:u w:val="none"/>
          <w:shd w:fill="auto" w:val="clear"/>
          <w:lang w:val="pt-BR" w:eastAsia="pt-BR" w:bidi="ar-SA"/>
        </w:rPr>
        <w:t xml:space="preserve">PROJETO DE </w:t>
      </w:r>
      <w:r>
        <w:rPr>
          <w:rStyle w:val="Emphasis"/>
          <w:rFonts w:eastAsia="Times New Roman" w:cs="Times New Roman" w:ascii="Carlito" w:hAnsi="Carlito"/>
          <w:b/>
          <w:bCs/>
          <w:i w:val="false"/>
          <w:iCs w:val="false"/>
          <w:color w:val="000000"/>
          <w:w w:val="95"/>
          <w:kern w:val="2"/>
          <w:sz w:val="24"/>
          <w:szCs w:val="24"/>
          <w:u w:val="none"/>
          <w:shd w:fill="auto" w:val="clear"/>
          <w:lang w:val="pt-BR" w:eastAsia="pt-BR" w:bidi="ar-SA"/>
        </w:rPr>
        <w:t xml:space="preserve">RESOLUÇÃO </w:t>
      </w:r>
      <w:r>
        <w:rPr>
          <w:rStyle w:val="Emphasis"/>
          <w:rFonts w:eastAsia="Times New Roman" w:cs="Times New Roman" w:ascii="Carlito" w:hAnsi="Carlito"/>
          <w:b/>
          <w:bCs/>
          <w:i w:val="false"/>
          <w:iCs w:val="false"/>
          <w:color w:val="000000"/>
          <w:w w:val="95"/>
          <w:kern w:val="2"/>
          <w:sz w:val="24"/>
          <w:szCs w:val="24"/>
          <w:u w:val="none"/>
          <w:shd w:fill="auto" w:val="clear"/>
          <w:lang w:val="pt-BR" w:eastAsia="pt-BR" w:bidi="ar-SA"/>
        </w:rPr>
        <w:t>Nº 0</w:t>
      </w:r>
      <w:r>
        <w:rPr>
          <w:rStyle w:val="Emphasis"/>
          <w:rFonts w:eastAsia="Times New Roman" w:cs="Times New Roman" w:ascii="Carlito" w:hAnsi="Carlito"/>
          <w:b/>
          <w:bCs/>
          <w:i w:val="false"/>
          <w:iCs w:val="false"/>
          <w:color w:val="000000"/>
          <w:w w:val="95"/>
          <w:kern w:val="2"/>
          <w:sz w:val="24"/>
          <w:szCs w:val="24"/>
          <w:u w:val="none"/>
          <w:shd w:fill="auto" w:val="clear"/>
          <w:lang w:val="pt-BR" w:eastAsia="pt-BR" w:bidi="ar-SA"/>
        </w:rPr>
        <w:t>01</w:t>
      </w:r>
      <w:r>
        <w:rPr>
          <w:rStyle w:val="Emphasis"/>
          <w:rFonts w:eastAsia="Times New Roman" w:cs="Times New Roman" w:ascii="Carlito" w:hAnsi="Carlito"/>
          <w:b/>
          <w:bCs/>
          <w:i w:val="false"/>
          <w:iCs w:val="false"/>
          <w:color w:val="000000"/>
          <w:w w:val="95"/>
          <w:kern w:val="2"/>
          <w:sz w:val="24"/>
          <w:szCs w:val="24"/>
          <w:u w:val="none"/>
          <w:shd w:fill="auto" w:val="clear"/>
          <w:lang w:val="pt-BR" w:eastAsia="pt-BR" w:bidi="ar-SA"/>
        </w:rPr>
        <w:t>/2026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kern w:val="2"/>
          <w:sz w:val="24"/>
          <w:szCs w:val="24"/>
          <w:u w:val="none"/>
          <w:shd w:fill="auto" w:val="clear"/>
          <w:lang w:val="pt-BR" w:eastAsia="pt-BR" w:bidi="ar-SA"/>
        </w:rPr>
        <w:t>, de autoria d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kern w:val="2"/>
          <w:sz w:val="24"/>
          <w:szCs w:val="24"/>
          <w:u w:val="none"/>
          <w:shd w:fill="auto" w:val="clear"/>
          <w:lang w:val="pt-BR" w:eastAsia="pt-BR" w:bidi="ar-SA"/>
        </w:rPr>
        <w:t>a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kern w:val="2"/>
          <w:sz w:val="24"/>
          <w:szCs w:val="24"/>
          <w:u w:val="none"/>
          <w:shd w:fill="auto" w:val="clear"/>
          <w:lang w:val="pt-BR" w:eastAsia="pt-BR" w:bidi="ar-SA"/>
        </w:rPr>
        <w:t xml:space="preserve"> 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kern w:val="2"/>
          <w:sz w:val="24"/>
          <w:szCs w:val="24"/>
          <w:u w:val="none"/>
          <w:shd w:fill="auto" w:val="clear"/>
          <w:lang w:val="pt-BR" w:eastAsia="pt-BR" w:bidi="ar-SA"/>
        </w:rPr>
        <w:t>Mesa Diretora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kern w:val="2"/>
          <w:sz w:val="24"/>
          <w:szCs w:val="24"/>
          <w:u w:val="none"/>
          <w:shd w:fill="auto" w:val="clear"/>
          <w:lang w:val="pt-BR" w:eastAsia="pt-BR" w:bidi="ar-SA"/>
        </w:rPr>
        <w:t>, que “Define os critérios de atuação do Serviço de Ouvidoria e Transparência no âmbito da Câmara Municipal de São José da Barra/MG, nos termos das Leis Federais nº 12.527, de 18 de novembro de 2011, e nº 13.460, de 26 de junho de 2017 e dá outras providências.”</w:t>
      </w:r>
    </w:p>
    <w:p>
      <w:pPr>
        <w:pStyle w:val="Normal"/>
        <w:spacing w:lineRule="auto" w:line="240" w:before="0" w:after="0"/>
        <w:jc w:val="both"/>
        <w:rPr>
          <w:rFonts w:ascii="Carlito" w:hAnsi="Carlito"/>
          <w:sz w:val="24"/>
          <w:szCs w:val="24"/>
        </w:rPr>
      </w:pPr>
      <w:r>
        <w:rPr>
          <w:rFonts w:ascii="Carlito" w:hAnsi="Carlito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Carlito" w:hAnsi="Carlito"/>
          <w:sz w:val="24"/>
          <w:szCs w:val="24"/>
        </w:rPr>
      </w:pPr>
      <w:r>
        <w:rPr>
          <w:rFonts w:ascii="Carlito" w:hAnsi="Carlito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Carlito" w:hAnsi="Carlito"/>
          <w:sz w:val="24"/>
          <w:szCs w:val="24"/>
        </w:rPr>
      </w:pPr>
      <w:r>
        <w:rPr>
          <w:rFonts w:ascii="Carlito" w:hAnsi="Carlito"/>
          <w:sz w:val="24"/>
          <w:szCs w:val="24"/>
        </w:rPr>
        <w:t xml:space="preserve">São José da Barra, </w:t>
      </w:r>
      <w:r>
        <w:rPr>
          <w:rFonts w:ascii="Carlito" w:hAnsi="Carlito"/>
          <w:sz w:val="24"/>
          <w:szCs w:val="24"/>
        </w:rPr>
        <w:t>14</w:t>
      </w:r>
      <w:r>
        <w:rPr>
          <w:rFonts w:ascii="Carlito" w:hAnsi="Carlito"/>
          <w:sz w:val="24"/>
          <w:szCs w:val="24"/>
        </w:rPr>
        <w:t xml:space="preserve"> de </w:t>
      </w:r>
      <w:r>
        <w:rPr>
          <w:rFonts w:ascii="Carlito" w:hAnsi="Carlito"/>
          <w:sz w:val="24"/>
          <w:szCs w:val="24"/>
        </w:rPr>
        <w:t>maio</w:t>
      </w:r>
      <w:r>
        <w:rPr>
          <w:rFonts w:ascii="Carlito" w:hAnsi="Carlito"/>
          <w:sz w:val="24"/>
          <w:szCs w:val="24"/>
        </w:rPr>
        <w:t xml:space="preserve"> de 2026.</w:t>
      </w:r>
    </w:p>
    <w:p>
      <w:pPr>
        <w:pStyle w:val="Normal"/>
        <w:spacing w:lineRule="auto" w:line="240" w:before="0" w:after="0"/>
        <w:jc w:val="center"/>
        <w:rPr>
          <w:rFonts w:ascii="Carlito" w:hAnsi="Carlito"/>
          <w:sz w:val="24"/>
          <w:szCs w:val="24"/>
        </w:rPr>
      </w:pPr>
      <w:r>
        <w:rPr>
          <w:rFonts w:ascii="Carlito" w:hAnsi="Carlito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Carlito" w:hAnsi="Carlito"/>
          <w:sz w:val="24"/>
          <w:szCs w:val="24"/>
        </w:rPr>
      </w:pPr>
      <w:r>
        <w:rPr>
          <w:rFonts w:ascii="Carlito" w:hAnsi="Carlito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Carlito" w:hAnsi="Carlito"/>
          <w:sz w:val="24"/>
          <w:szCs w:val="24"/>
        </w:rPr>
      </w:pPr>
      <w:r>
        <w:rPr>
          <w:rFonts w:ascii="Carlito" w:hAnsi="Carlito"/>
          <w:sz w:val="24"/>
          <w:szCs w:val="24"/>
        </w:rPr>
        <w:t>Kelvim Cristian Avila Avelar</w:t>
      </w:r>
    </w:p>
    <w:p>
      <w:pPr>
        <w:pStyle w:val="Normal"/>
        <w:spacing w:lineRule="auto" w:line="240" w:before="0" w:after="0"/>
        <w:jc w:val="center"/>
        <w:rPr/>
      </w:pPr>
      <w:r>
        <w:rPr>
          <w:rStyle w:val="Strong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Analista do Processo Legislativo</w:t>
      </w:r>
    </w:p>
    <w:sectPr>
      <w:headerReference w:type="default" r:id="rId2"/>
      <w:type w:val="nextPage"/>
      <w:pgSz w:w="11906" w:h="16838"/>
      <w:pgMar w:left="1140" w:right="1211" w:gutter="0" w:header="45" w:top="3360" w:footer="0" w:bottom="830"/>
      <w:pgNumType w:fmt="decimal"/>
      <w:formProt w:val="false"/>
      <w:textDirection w:val="lrTb"/>
      <w:docGrid w:type="default" w:linePitch="360" w:charSpace="2048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rlito">
    <w:altName w:val="Calibri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Spacing"/>
      <w:jc w:val="center"/>
      <w:rPr>
        <w:b/>
        <w:i w:val="false"/>
        <w:i w:val="false"/>
        <w:iCs w:val="false"/>
        <w:u w:val="none"/>
      </w:rPr>
    </w:pPr>
    <w:r>
      <w:rPr>
        <w:b/>
        <w:i w:val="false"/>
        <w:iCs w:val="false"/>
        <w:u w:val="none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2681605</wp:posOffset>
          </wp:positionH>
          <wp:positionV relativeFrom="paragraph">
            <wp:posOffset>9525</wp:posOffset>
          </wp:positionV>
          <wp:extent cx="752475" cy="714375"/>
          <wp:effectExtent l="0" t="0" r="0" b="0"/>
          <wp:wrapNone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14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Spacing"/>
      <w:jc w:val="center"/>
      <w:rPr>
        <w:b/>
        <w:i w:val="false"/>
        <w:i w:val="false"/>
        <w:iCs w:val="false"/>
        <w:u w:val="none"/>
      </w:rPr>
    </w:pPr>
    <w:r>
      <w:rPr>
        <w:b/>
        <w:i w:val="false"/>
        <w:iCs w:val="false"/>
        <w:u w:val="none"/>
      </w:rPr>
    </w:r>
  </w:p>
  <w:p>
    <w:pPr>
      <w:pStyle w:val="NoSpacing"/>
      <w:jc w:val="center"/>
      <w:rPr>
        <w:b/>
        <w:i w:val="false"/>
        <w:i w:val="false"/>
        <w:iCs w:val="false"/>
        <w:u w:val="none"/>
      </w:rPr>
    </w:pPr>
    <w:r>
      <w:rPr>
        <w:b/>
        <w:i w:val="false"/>
        <w:iCs w:val="false"/>
        <w:u w:val="none"/>
      </w:rPr>
    </w:r>
  </w:p>
  <w:p>
    <w:pPr>
      <w:pStyle w:val="NoSpacing"/>
      <w:jc w:val="center"/>
      <w:rPr>
        <w:b/>
        <w:i w:val="false"/>
        <w:i w:val="false"/>
        <w:iCs w:val="false"/>
        <w:u w:val="none"/>
      </w:rPr>
    </w:pPr>
    <w:r>
      <w:rPr>
        <w:b/>
        <w:i w:val="false"/>
        <w:iCs w:val="false"/>
        <w:u w:val="none"/>
      </w:rPr>
    </w:r>
  </w:p>
  <w:p>
    <w:pPr>
      <w:pStyle w:val="NoSpacing"/>
      <w:jc w:val="center"/>
      <w:rPr/>
    </w:pPr>
    <w:r>
      <w:rPr>
        <w:rFonts w:ascii="Carlito" w:hAnsi="Carlito"/>
        <w:b/>
        <w:i w:val="false"/>
        <w:iCs w:val="false"/>
        <w:sz w:val="24"/>
        <w:szCs w:val="24"/>
        <w:u w:val="none"/>
      </w:rPr>
      <w:t>PODER LEGISLATIVO</w:t>
    </w:r>
  </w:p>
  <w:p>
    <w:pPr>
      <w:pStyle w:val="NoSpacing"/>
      <w:jc w:val="center"/>
      <w:rPr/>
    </w:pPr>
    <w:r>
      <w:rPr>
        <w:rFonts w:ascii="Carlito" w:hAnsi="Carlito"/>
        <w:b/>
        <w:i w:val="false"/>
        <w:iCs w:val="false"/>
        <w:sz w:val="24"/>
        <w:szCs w:val="24"/>
        <w:u w:val="none"/>
      </w:rPr>
      <w:t>CÂMARA MUNICIPAL DE SÃO JOSÉ DA BARRA – MG</w:t>
    </w:r>
  </w:p>
  <w:p>
    <w:pPr>
      <w:pStyle w:val="Header"/>
      <w:jc w:val="center"/>
      <w:rPr/>
    </w:pPr>
    <w:r>
      <w:rPr>
        <w:rFonts w:cs="Times New Roman" w:ascii="Carlito" w:hAnsi="Carlito"/>
        <w:b/>
        <w:i w:val="false"/>
        <w:iCs w:val="false"/>
        <w:sz w:val="22"/>
        <w:szCs w:val="22"/>
        <w:u w:val="none"/>
      </w:rPr>
      <w:t>PROCESSO LEGISLATIVO</w:t>
    </w:r>
  </w:p>
  <w:p>
    <w:pPr>
      <w:pStyle w:val="Header"/>
      <w:jc w:val="center"/>
      <w:rPr/>
    </w:pPr>
    <w:r>
      <w:rPr>
        <w:rFonts w:ascii="Carlito" w:hAnsi="Carlito"/>
        <w:i w:val="false"/>
        <w:iCs w:val="false"/>
        <w:sz w:val="22"/>
        <w:szCs w:val="22"/>
        <w:u w:val="none"/>
      </w:rPr>
      <w:t>Trav. Ary Brasileiro de Castro, nº 242 - Centro – CEP:37.945-000 - Fone: (35) 3523-9101</w:t>
    </w:r>
  </w:p>
  <w:p>
    <w:pPr>
      <w:pStyle w:val="Header"/>
      <w:jc w:val="center"/>
      <w:rPr/>
    </w:pPr>
    <w:r>
      <w:rPr>
        <w:rFonts w:ascii="Carlito" w:hAnsi="Carlito"/>
        <w:i w:val="false"/>
        <w:iCs w:val="false"/>
        <w:sz w:val="22"/>
        <w:szCs w:val="22"/>
        <w:u w:val="none"/>
      </w:rPr>
      <w:t>CNPJ Nº 01.729.464/0001-04 / Inscrição Estadual: Isenta.</w:t>
    </w:r>
  </w:p>
  <w:p>
    <w:pPr>
      <w:pStyle w:val="Header"/>
      <w:jc w:val="center"/>
      <w:rPr/>
    </w:pPr>
    <w:r>
      <w:rPr>
        <w:rFonts w:ascii="Carlito" w:hAnsi="Carlito"/>
        <w:i w:val="false"/>
        <w:iCs w:val="false"/>
        <w:sz w:val="22"/>
        <w:szCs w:val="22"/>
        <w:u w:val="none"/>
        <w:lang w:val="en-US"/>
      </w:rPr>
      <w:t xml:space="preserve">E-mail: </w:t>
    </w:r>
    <w:hyperlink r:id="rId2">
      <w:r>
        <w:rPr>
          <w:rStyle w:val="Hyperlink"/>
          <w:rFonts w:ascii="Carlito" w:hAnsi="Carlito"/>
          <w:i w:val="false"/>
          <w:iCs w:val="false"/>
          <w:sz w:val="22"/>
          <w:szCs w:val="22"/>
          <w:u w:val="none"/>
          <w:lang w:val="en-US"/>
        </w:rPr>
        <w:t>proc.legislativo@saojosedabarra.mg.leg.br</w:t>
      </w:r>
    </w:hyperlink>
  </w:p>
  <w:p>
    <w:pPr>
      <w:pStyle w:val="Header"/>
      <w:jc w:val="center"/>
      <w:rPr/>
    </w:pPr>
    <w:r>
      <w:rPr>
        <w:rFonts w:ascii="Carlito" w:hAnsi="Carlito"/>
        <w:i w:val="false"/>
        <w:iCs w:val="false"/>
        <w:sz w:val="22"/>
        <w:szCs w:val="22"/>
        <w:u w:val="none"/>
      </w:rPr>
      <w:t xml:space="preserve">Site: </w:t>
    </w:r>
    <w:hyperlink r:id="rId3">
      <w:r>
        <w:rPr>
          <w:rStyle w:val="Hyperlink"/>
          <w:rFonts w:ascii="Carlito" w:hAnsi="Carlito"/>
          <w:i w:val="false"/>
          <w:iCs w:val="false"/>
          <w:sz w:val="22"/>
          <w:szCs w:val="22"/>
          <w:u w:val="none"/>
        </w:rPr>
        <w:t>www.saojosedabarra.mg.leg.br</w:t>
      </w:r>
    </w:hyperlink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e676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eastAsiaTheme="minorEastAsia"/>
      <w:color w:val="auto"/>
      <w:kern w:val="0"/>
      <w:sz w:val="22"/>
      <w:szCs w:val="22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4e3522"/>
    <w:rPr>
      <w:rFonts w:eastAsia="" w:eastAsiaTheme="minorEastAsia"/>
      <w:lang w:eastAsia="pt-BR"/>
    </w:rPr>
  </w:style>
  <w:style w:type="character" w:styleId="RodapChar" w:customStyle="1">
    <w:name w:val="Rodapé Char"/>
    <w:basedOn w:val="DefaultParagraphFont"/>
    <w:uiPriority w:val="99"/>
    <w:qFormat/>
    <w:rsid w:val="004e3522"/>
    <w:rPr>
      <w:rFonts w:eastAsia="" w:eastAsiaTheme="minorEastAsia"/>
      <w:lang w:eastAsia="pt-BR"/>
    </w:rPr>
  </w:style>
  <w:style w:type="character" w:styleId="Hyperlink">
    <w:name w:val="Hyperlink"/>
    <w:uiPriority w:val="99"/>
    <w:semiHidden/>
    <w:unhideWhenUsed/>
    <w:rsid w:val="004e3522"/>
    <w:rPr>
      <w:color w:val="0000FF"/>
      <w:u w:val="single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a50913"/>
    <w:rPr>
      <w:rFonts w:ascii="Segoe UI" w:hAnsi="Segoe UI" w:eastAsia="" w:cs="Segoe UI" w:eastAsiaTheme="minorEastAsia"/>
      <w:sz w:val="18"/>
      <w:szCs w:val="18"/>
      <w:lang w:eastAsia="pt-BR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Normaltextrun" w:customStyle="1">
    <w:name w:val="normaltextrun"/>
    <w:basedOn w:val="DefaultParagraphFont"/>
    <w:qFormat/>
    <w:rPr/>
  </w:style>
  <w:style w:type="character" w:styleId="Smbolosdenumerao">
    <w:name w:val="Símbolos de numeração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4e3522"/>
    <w:pPr>
      <w:spacing w:before="0" w:after="200"/>
      <w:ind w:hanging="0" w:left="720"/>
      <w:contextualSpacing/>
    </w:pPr>
    <w:rPr/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4e352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4e352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4e3522"/>
    <w:pPr>
      <w:widowControl/>
      <w:suppressAutoHyphens w:val="true"/>
      <w:bidi w:val="0"/>
      <w:spacing w:before="0" w:after="0"/>
      <w:jc w:val="left"/>
    </w:pPr>
    <w:rPr>
      <w:rFonts w:ascii="Calibri" w:hAnsi="Calibri" w:eastAsia="" w:cs="" w:eastAsiaTheme="minorEastAsia"/>
      <w:color w:val="auto"/>
      <w:kern w:val="0"/>
      <w:sz w:val="22"/>
      <w:szCs w:val="22"/>
      <w:lang w:val="pt-BR" w:eastAsia="pt-BR" w:bidi="ar-SA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a50913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rpodapea" w:customStyle="1">
    <w:name w:val="corpodapea"/>
    <w:basedOn w:val="Normal"/>
    <w:qFormat/>
    <w:pPr>
      <w:spacing w:lineRule="exact" w:line="240" w:beforeAutospacing="1" w:afterAutospacing="1"/>
    </w:pPr>
    <w:rPr>
      <w:rFonts w:ascii="Times New Roman" w:hAnsi="Times New Roman" w:eastAsia="Times New Roman"/>
    </w:rPr>
  </w:style>
  <w:style w:type="paragraph" w:styleId="NormalWeb">
    <w:name w:val="Normal (Web)"/>
    <w:basedOn w:val="Normal"/>
    <w:qFormat/>
    <w:pPr>
      <w:suppressAutoHyphens w:val="false"/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proc.legislativo@saojosedabarra.mg.leg.br" TargetMode="External"/><Relationship Id="rId3" Type="http://schemas.openxmlformats.org/officeDocument/2006/relationships/hyperlink" Target="http://www.saojosedabarra.mg.leg.br/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4949</TotalTime>
  <Application>LibreOffice/7.6.0.3$Windows_X86_64 LibreOffice_project/69edd8b8ebc41d00b4de3915dc82f8f0fc3b6265</Application>
  <AppVersion>15.0000</AppVersion>
  <Pages>1</Pages>
  <Words>256</Words>
  <Characters>1301</Characters>
  <CharactersWithSpaces>1542</CharactersWithSpaces>
  <Paragraphs>16</Paragraphs>
  <Company>cliente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dc:description/>
  <dc:language>pt-BR</dc:language>
  <cp:lastModifiedBy/>
  <dcterms:modified xsi:type="dcterms:W3CDTF">2026-05-14T11:02:49Z</dcterms:modified>
  <cp:revision>265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